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EDB1C" w14:textId="26F72F4A" w:rsidR="003A09ED" w:rsidRPr="003A09ED" w:rsidRDefault="003A09ED" w:rsidP="003A09ED">
      <w:pPr>
        <w:shd w:val="clear" w:color="auto" w:fill="FFFFFF"/>
        <w:spacing w:after="0" w:line="240" w:lineRule="auto"/>
        <w:outlineLvl w:val="0"/>
        <w:rPr>
          <w:rFonts w:asciiTheme="minorHAnsi" w:hAnsiTheme="minorHAnsi" w:cstheme="minorHAnsi"/>
          <w:b/>
          <w:bCs/>
          <w:color w:val="0B0C0C"/>
          <w:kern w:val="36"/>
          <w:sz w:val="28"/>
          <w:szCs w:val="28"/>
        </w:rPr>
      </w:pPr>
      <w:r w:rsidRPr="003A09ED">
        <w:rPr>
          <w:rFonts w:asciiTheme="minorHAnsi" w:hAnsiTheme="minorHAnsi" w:cstheme="minorHAnsi"/>
          <w:b/>
          <w:bCs/>
          <w:color w:val="0B0C0C"/>
          <w:kern w:val="36"/>
          <w:sz w:val="28"/>
          <w:szCs w:val="28"/>
        </w:rPr>
        <w:t>Montelukast: reminder of the risk of neuropsychiatric reactions</w:t>
      </w:r>
    </w:p>
    <w:p w14:paraId="6AC8A9D8" w14:textId="77777777" w:rsidR="003A09ED" w:rsidRPr="003A09ED" w:rsidRDefault="003A09ED" w:rsidP="003A09ED">
      <w:pPr>
        <w:shd w:val="clear" w:color="auto" w:fill="FFFFFF"/>
        <w:spacing w:after="0" w:line="240" w:lineRule="auto"/>
        <w:jc w:val="center"/>
        <w:outlineLvl w:val="0"/>
        <w:rPr>
          <w:rFonts w:ascii="Arial" w:hAnsi="Arial" w:cs="Arial"/>
          <w:b/>
          <w:bCs/>
          <w:color w:val="0B0C0C"/>
          <w:kern w:val="36"/>
          <w:sz w:val="28"/>
          <w:szCs w:val="28"/>
        </w:rPr>
      </w:pPr>
    </w:p>
    <w:p w14:paraId="07FAEC92" w14:textId="592EC25A" w:rsidR="003A09ED" w:rsidRPr="003A09ED" w:rsidRDefault="003A09ED" w:rsidP="00516556">
      <w:pPr>
        <w:shd w:val="clear" w:color="auto" w:fill="FFFFFF"/>
        <w:spacing w:after="0" w:line="240" w:lineRule="auto"/>
        <w:outlineLvl w:val="0"/>
        <w:rPr>
          <w:rFonts w:asciiTheme="minorHAnsi" w:hAnsiTheme="minorHAnsi" w:cstheme="minorHAnsi"/>
          <w:color w:val="0B0C0C"/>
          <w:shd w:val="clear" w:color="auto" w:fill="FFFFFF"/>
        </w:rPr>
      </w:pPr>
      <w:r w:rsidRPr="003A09ED">
        <w:rPr>
          <w:rFonts w:asciiTheme="minorHAnsi" w:hAnsiTheme="minorHAnsi" w:cstheme="minorHAnsi"/>
          <w:color w:val="0B0C0C"/>
          <w:shd w:val="clear" w:color="auto" w:fill="FFFFFF"/>
        </w:rPr>
        <w:t xml:space="preserve">Healthcare professionals prescribing montelukast should be alert to the risk of neuropsychiatric reactions in </w:t>
      </w:r>
      <w:r w:rsidRPr="003A09ED">
        <w:rPr>
          <w:rFonts w:asciiTheme="minorHAnsi" w:hAnsiTheme="minorHAnsi" w:cstheme="minorHAnsi"/>
          <w:b/>
          <w:bCs/>
          <w:color w:val="0B0C0C"/>
          <w:shd w:val="clear" w:color="auto" w:fill="FFFFFF"/>
        </w:rPr>
        <w:t>all</w:t>
      </w:r>
      <w:r w:rsidRPr="003A09ED">
        <w:rPr>
          <w:rFonts w:asciiTheme="minorHAnsi" w:hAnsiTheme="minorHAnsi" w:cstheme="minorHAnsi"/>
          <w:color w:val="0B0C0C"/>
          <w:shd w:val="clear" w:color="auto" w:fill="FFFFFF"/>
        </w:rPr>
        <w:t xml:space="preserve"> patients including children and adolescents. Reported neuropsychiatric reactions include </w:t>
      </w:r>
      <w:r w:rsidRPr="003A09ED">
        <w:rPr>
          <w:rFonts w:asciiTheme="minorHAnsi" w:hAnsiTheme="minorHAnsi" w:cstheme="minorHAnsi"/>
          <w:b/>
          <w:bCs/>
          <w:color w:val="0B0C0C"/>
          <w:shd w:val="clear" w:color="auto" w:fill="FFFFFF"/>
        </w:rPr>
        <w:t>sleep disorders, hallucinations, anxiety, and depression</w:t>
      </w:r>
      <w:r w:rsidRPr="003A09ED">
        <w:rPr>
          <w:rFonts w:asciiTheme="minorHAnsi" w:hAnsiTheme="minorHAnsi" w:cstheme="minorHAnsi"/>
          <w:color w:val="0B0C0C"/>
          <w:shd w:val="clear" w:color="auto" w:fill="FFFFFF"/>
        </w:rPr>
        <w:t xml:space="preserve">, as well as </w:t>
      </w:r>
      <w:r w:rsidRPr="003A09ED">
        <w:rPr>
          <w:rFonts w:asciiTheme="minorHAnsi" w:hAnsiTheme="minorHAnsi" w:cstheme="minorHAnsi"/>
          <w:b/>
          <w:bCs/>
          <w:color w:val="0B0C0C"/>
          <w:shd w:val="clear" w:color="auto" w:fill="FFFFFF"/>
        </w:rPr>
        <w:t>changes in behaviour and mood</w:t>
      </w:r>
      <w:r w:rsidRPr="003A09ED">
        <w:rPr>
          <w:rFonts w:asciiTheme="minorHAnsi" w:hAnsiTheme="minorHAnsi" w:cstheme="minorHAnsi"/>
          <w:color w:val="0B0C0C"/>
          <w:shd w:val="clear" w:color="auto" w:fill="FFFFFF"/>
        </w:rPr>
        <w:t xml:space="preserve">. </w:t>
      </w:r>
    </w:p>
    <w:p w14:paraId="40525E4D" w14:textId="77777777" w:rsidR="003A09ED" w:rsidRPr="003A09ED" w:rsidRDefault="003A09ED" w:rsidP="00516556">
      <w:pPr>
        <w:shd w:val="clear" w:color="auto" w:fill="FFFFFF"/>
        <w:spacing w:after="0" w:line="240" w:lineRule="auto"/>
        <w:outlineLvl w:val="0"/>
        <w:rPr>
          <w:rFonts w:asciiTheme="minorHAnsi" w:hAnsiTheme="minorHAnsi" w:cstheme="minorHAnsi"/>
          <w:color w:val="0B0C0C"/>
          <w:shd w:val="clear" w:color="auto" w:fill="FFFFFF"/>
        </w:rPr>
      </w:pPr>
    </w:p>
    <w:p w14:paraId="32F891D5" w14:textId="77777777" w:rsidR="003A09ED" w:rsidRPr="003A09ED" w:rsidRDefault="003A09ED" w:rsidP="00516556">
      <w:pPr>
        <w:shd w:val="clear" w:color="auto" w:fill="FFFFFF"/>
        <w:spacing w:after="0" w:line="240" w:lineRule="auto"/>
        <w:outlineLvl w:val="0"/>
        <w:rPr>
          <w:rFonts w:asciiTheme="minorHAnsi" w:hAnsiTheme="minorHAnsi" w:cstheme="minorHAnsi"/>
          <w:b/>
          <w:bCs/>
          <w:color w:val="833C0B" w:themeColor="accent2" w:themeShade="80"/>
          <w:kern w:val="36"/>
        </w:rPr>
      </w:pPr>
      <w:r w:rsidRPr="003A09ED">
        <w:rPr>
          <w:rFonts w:asciiTheme="minorHAnsi" w:hAnsiTheme="minorHAnsi" w:cstheme="minorHAnsi"/>
          <w:b/>
          <w:bCs/>
          <w:color w:val="833C0B" w:themeColor="accent2" w:themeShade="80"/>
          <w:shd w:val="clear" w:color="auto" w:fill="FFFFFF"/>
        </w:rPr>
        <w:t>Healthcare professionals should advise patients and their caregivers to be alert to these risks and seek medical advice as soon as possible if neuropsychiatric reactions occur.</w:t>
      </w:r>
    </w:p>
    <w:p w14:paraId="04FF5467" w14:textId="77777777" w:rsidR="003A09ED" w:rsidRPr="003A09ED" w:rsidRDefault="003A09ED" w:rsidP="00516556">
      <w:pPr>
        <w:shd w:val="clear" w:color="auto" w:fill="FFFFFF"/>
        <w:spacing w:after="0" w:line="240" w:lineRule="auto"/>
        <w:outlineLvl w:val="0"/>
        <w:rPr>
          <w:rFonts w:asciiTheme="minorHAnsi" w:hAnsiTheme="minorHAnsi" w:cstheme="minorHAnsi"/>
          <w:b/>
          <w:bCs/>
          <w:color w:val="0B0C0C"/>
          <w:kern w:val="36"/>
        </w:rPr>
      </w:pPr>
    </w:p>
    <w:p w14:paraId="5255937D" w14:textId="77777777" w:rsidR="003A09ED" w:rsidRPr="003A09ED" w:rsidRDefault="003A09ED" w:rsidP="00516556">
      <w:pPr>
        <w:keepNext/>
        <w:keepLines/>
        <w:spacing w:after="0"/>
        <w:outlineLvl w:val="1"/>
        <w:rPr>
          <w:rFonts w:asciiTheme="minorHAnsi" w:eastAsiaTheme="majorEastAsia" w:hAnsiTheme="minorHAnsi" w:cstheme="minorHAnsi"/>
          <w:b/>
          <w:bCs/>
          <w:color w:val="0B0C0C"/>
        </w:rPr>
      </w:pPr>
      <w:r w:rsidRPr="003A09ED">
        <w:rPr>
          <w:rFonts w:asciiTheme="minorHAnsi" w:eastAsiaTheme="majorEastAsia" w:hAnsiTheme="minorHAnsi" w:cstheme="minorHAnsi"/>
          <w:b/>
          <w:bCs/>
          <w:color w:val="0B0C0C"/>
        </w:rPr>
        <w:t>Advice for healthcare professionals:</w:t>
      </w:r>
    </w:p>
    <w:p w14:paraId="3807F25C" w14:textId="5F5C45DD" w:rsidR="003A09ED" w:rsidRPr="003A09ED" w:rsidRDefault="003A09ED" w:rsidP="00516556">
      <w:pPr>
        <w:numPr>
          <w:ilvl w:val="0"/>
          <w:numId w:val="12"/>
        </w:numPr>
        <w:tabs>
          <w:tab w:val="num" w:pos="60"/>
        </w:tabs>
        <w:spacing w:after="75"/>
        <w:ind w:left="360"/>
        <w:rPr>
          <w:rFonts w:asciiTheme="minorHAnsi" w:hAnsiTheme="minorHAnsi" w:cstheme="minorHAnsi"/>
          <w:color w:val="0B0C0C"/>
        </w:rPr>
      </w:pPr>
      <w:r w:rsidRPr="003A09ED">
        <w:rPr>
          <w:rFonts w:asciiTheme="minorHAnsi" w:hAnsiTheme="minorHAnsi" w:cstheme="minorHAnsi"/>
          <w:color w:val="0B0C0C"/>
        </w:rPr>
        <w:t>the warnings in the Patient Information Leaflet and Summary of Product Characteristics for all montelukast products in the UK have been strengthened and highlighted with a black box for greater emphasis</w:t>
      </w:r>
      <w:r w:rsidR="00516556">
        <w:rPr>
          <w:rFonts w:asciiTheme="minorHAnsi" w:hAnsiTheme="minorHAnsi" w:cstheme="minorHAnsi"/>
          <w:color w:val="0B0C0C"/>
        </w:rPr>
        <w:t>.</w:t>
      </w:r>
    </w:p>
    <w:p w14:paraId="23E985FF" w14:textId="71F124FF" w:rsidR="003A09ED" w:rsidRPr="003A09ED" w:rsidRDefault="003A09ED" w:rsidP="00516556">
      <w:pPr>
        <w:numPr>
          <w:ilvl w:val="0"/>
          <w:numId w:val="12"/>
        </w:numPr>
        <w:tabs>
          <w:tab w:val="num" w:pos="60"/>
        </w:tabs>
        <w:spacing w:after="75"/>
        <w:ind w:left="360"/>
        <w:rPr>
          <w:rFonts w:asciiTheme="minorHAnsi" w:hAnsiTheme="minorHAnsi" w:cstheme="minorHAnsi"/>
          <w:color w:val="0B0C0C"/>
        </w:rPr>
      </w:pPr>
      <w:r w:rsidRPr="003A09ED">
        <w:rPr>
          <w:rFonts w:asciiTheme="minorHAnsi" w:hAnsiTheme="minorHAnsi" w:cstheme="minorHAnsi"/>
          <w:color w:val="0B0C0C"/>
        </w:rPr>
        <w:t>be alert for neuropsychiatric reactions in patients taking montelukast; events have been reported in adults, adolescents, and children</w:t>
      </w:r>
      <w:r w:rsidR="00516556">
        <w:rPr>
          <w:rFonts w:asciiTheme="minorHAnsi" w:hAnsiTheme="minorHAnsi" w:cstheme="minorHAnsi"/>
          <w:color w:val="0B0C0C"/>
        </w:rPr>
        <w:t>.</w:t>
      </w:r>
    </w:p>
    <w:p w14:paraId="50C6418E" w14:textId="23B3485B" w:rsidR="003A09ED" w:rsidRPr="003A09ED" w:rsidRDefault="003A09ED" w:rsidP="00516556">
      <w:pPr>
        <w:numPr>
          <w:ilvl w:val="0"/>
          <w:numId w:val="12"/>
        </w:numPr>
        <w:tabs>
          <w:tab w:val="num" w:pos="60"/>
        </w:tabs>
        <w:spacing w:after="75"/>
        <w:ind w:left="360"/>
        <w:rPr>
          <w:rFonts w:asciiTheme="minorHAnsi" w:hAnsiTheme="minorHAnsi" w:cstheme="minorHAnsi"/>
          <w:color w:val="0B0C0C"/>
        </w:rPr>
      </w:pPr>
      <w:r w:rsidRPr="003A09ED">
        <w:rPr>
          <w:rFonts w:asciiTheme="minorHAnsi" w:hAnsiTheme="minorHAnsi" w:cstheme="minorHAnsi"/>
          <w:color w:val="0B0C0C"/>
        </w:rPr>
        <w:t>discontinue montelukast if patients experience new or worsening symptoms of neuropsychiatric reactions</w:t>
      </w:r>
      <w:r w:rsidR="00516556">
        <w:rPr>
          <w:rFonts w:asciiTheme="minorHAnsi" w:hAnsiTheme="minorHAnsi" w:cstheme="minorHAnsi"/>
          <w:color w:val="0B0C0C"/>
        </w:rPr>
        <w:t>.</w:t>
      </w:r>
    </w:p>
    <w:p w14:paraId="60CDCE15" w14:textId="3E176CBC" w:rsidR="003A09ED" w:rsidRPr="003A09ED" w:rsidRDefault="003A09ED" w:rsidP="00516556">
      <w:pPr>
        <w:numPr>
          <w:ilvl w:val="0"/>
          <w:numId w:val="12"/>
        </w:numPr>
        <w:tabs>
          <w:tab w:val="num" w:pos="60"/>
        </w:tabs>
        <w:spacing w:after="75"/>
        <w:ind w:left="360"/>
        <w:rPr>
          <w:rFonts w:asciiTheme="minorHAnsi" w:hAnsiTheme="minorHAnsi" w:cstheme="minorHAnsi"/>
          <w:color w:val="0B0C0C"/>
        </w:rPr>
      </w:pPr>
      <w:r w:rsidRPr="003A09ED">
        <w:rPr>
          <w:rFonts w:asciiTheme="minorHAnsi" w:hAnsiTheme="minorHAnsi" w:cstheme="minorHAnsi"/>
          <w:color w:val="0B0C0C"/>
        </w:rPr>
        <w:t>advise patients and their caregivers to carefully read the list of neuropsychiatric reactions in the Patient Information Leaflet and to seek medical advice immediately should they occur</w:t>
      </w:r>
      <w:r w:rsidR="00516556">
        <w:rPr>
          <w:rFonts w:asciiTheme="minorHAnsi" w:hAnsiTheme="minorHAnsi" w:cstheme="minorHAnsi"/>
          <w:color w:val="0B0C0C"/>
        </w:rPr>
        <w:t>.</w:t>
      </w:r>
    </w:p>
    <w:p w14:paraId="5267F23D" w14:textId="5B02DA50" w:rsidR="003A09ED" w:rsidRPr="003A09ED" w:rsidRDefault="003A09ED" w:rsidP="00516556">
      <w:pPr>
        <w:numPr>
          <w:ilvl w:val="0"/>
          <w:numId w:val="12"/>
        </w:numPr>
        <w:tabs>
          <w:tab w:val="num" w:pos="60"/>
        </w:tabs>
        <w:spacing w:after="75"/>
        <w:ind w:left="360"/>
        <w:rPr>
          <w:rFonts w:asciiTheme="minorHAnsi" w:hAnsiTheme="minorHAnsi" w:cstheme="minorHAnsi"/>
          <w:b/>
          <w:bCs/>
          <w:color w:val="0B0C0C"/>
        </w:rPr>
      </w:pPr>
      <w:r w:rsidRPr="003A09ED">
        <w:rPr>
          <w:rFonts w:asciiTheme="minorHAnsi" w:hAnsiTheme="minorHAnsi" w:cstheme="minorHAnsi"/>
          <w:color w:val="0B0C0C"/>
        </w:rPr>
        <w:t xml:space="preserve">report </w:t>
      </w:r>
      <w:r w:rsidRPr="003A09ED">
        <w:rPr>
          <w:rFonts w:asciiTheme="minorHAnsi" w:hAnsiTheme="minorHAnsi" w:cstheme="minorHAnsi"/>
          <w:b/>
          <w:bCs/>
          <w:color w:val="0B0C0C"/>
        </w:rPr>
        <w:t xml:space="preserve">all </w:t>
      </w:r>
      <w:r w:rsidRPr="003A09ED">
        <w:rPr>
          <w:rFonts w:asciiTheme="minorHAnsi" w:hAnsiTheme="minorHAnsi" w:cstheme="minorHAnsi"/>
          <w:color w:val="0B0C0C"/>
        </w:rPr>
        <w:t xml:space="preserve">suspected adverse drug reactions associated with montelukast </w:t>
      </w:r>
      <w:r>
        <w:rPr>
          <w:rFonts w:asciiTheme="minorHAnsi" w:hAnsiTheme="minorHAnsi" w:cstheme="minorHAnsi"/>
          <w:color w:val="0B0C0C"/>
        </w:rPr>
        <w:t xml:space="preserve">using the Yellow Card scheme. Access to the yellow card scheme can be found </w:t>
      </w:r>
      <w:r w:rsidR="00516556">
        <w:rPr>
          <w:rFonts w:asciiTheme="minorHAnsi" w:hAnsiTheme="minorHAnsi" w:cstheme="minorHAnsi"/>
          <w:color w:val="0B0C0C"/>
        </w:rPr>
        <w:t>using th</w:t>
      </w:r>
      <w:r w:rsidR="00A82C8C">
        <w:rPr>
          <w:rFonts w:asciiTheme="minorHAnsi" w:hAnsiTheme="minorHAnsi" w:cstheme="minorHAnsi"/>
          <w:color w:val="0B0C0C"/>
        </w:rPr>
        <w:t>is link to the</w:t>
      </w:r>
      <w:r w:rsidRPr="003A09ED">
        <w:rPr>
          <w:rFonts w:asciiTheme="minorHAnsi" w:hAnsiTheme="minorHAnsi" w:cstheme="minorHAnsi"/>
          <w:color w:val="0B0C0C"/>
        </w:rPr>
        <w:t> </w:t>
      </w:r>
      <w:hyperlink r:id="rId11" w:history="1">
        <w:r w:rsidRPr="003A09ED">
          <w:rPr>
            <w:rFonts w:asciiTheme="minorHAnsi" w:hAnsiTheme="minorHAnsi" w:cstheme="minorHAnsi"/>
            <w:b/>
            <w:bCs/>
            <w:color w:val="1D70B8"/>
            <w:u w:val="single"/>
          </w:rPr>
          <w:t>Yellow Card scheme</w:t>
        </w:r>
      </w:hyperlink>
      <w:r w:rsidR="00516556">
        <w:rPr>
          <w:rFonts w:asciiTheme="minorHAnsi" w:hAnsiTheme="minorHAnsi" w:cstheme="minorHAnsi"/>
          <w:b/>
          <w:bCs/>
          <w:color w:val="1D70B8"/>
          <w:u w:val="single"/>
        </w:rPr>
        <w:t>.</w:t>
      </w:r>
    </w:p>
    <w:p w14:paraId="78C4FC9A" w14:textId="77777777" w:rsidR="003A09ED" w:rsidRPr="003A09ED" w:rsidRDefault="003A09ED" w:rsidP="00516556">
      <w:pPr>
        <w:spacing w:after="0" w:line="240" w:lineRule="auto"/>
        <w:rPr>
          <w:rFonts w:asciiTheme="minorHAnsi" w:eastAsiaTheme="minorHAnsi" w:hAnsiTheme="minorHAnsi" w:cstheme="minorHAnsi"/>
          <w:lang w:eastAsia="en-US"/>
        </w:rPr>
      </w:pPr>
    </w:p>
    <w:p w14:paraId="381B961C" w14:textId="00B6C69B" w:rsidR="003A09ED" w:rsidRPr="003A09ED" w:rsidRDefault="003A09ED" w:rsidP="00516556">
      <w:pPr>
        <w:keepNext/>
        <w:keepLines/>
        <w:spacing w:after="0" w:line="240" w:lineRule="auto"/>
        <w:outlineLvl w:val="1"/>
        <w:rPr>
          <w:rFonts w:asciiTheme="minorHAnsi" w:eastAsiaTheme="majorEastAsia" w:hAnsiTheme="minorHAnsi" w:cstheme="minorHAnsi"/>
          <w:b/>
          <w:bCs/>
          <w:color w:val="0B0C0C"/>
        </w:rPr>
      </w:pPr>
      <w:r w:rsidRPr="003A09ED">
        <w:rPr>
          <w:rFonts w:asciiTheme="minorHAnsi" w:eastAsiaTheme="majorEastAsia" w:hAnsiTheme="minorHAnsi" w:cstheme="minorHAnsi"/>
          <w:b/>
          <w:bCs/>
          <w:color w:val="0B0C0C"/>
        </w:rPr>
        <w:t>Advice for healthcare professionals to give to patients and caregivers</w:t>
      </w:r>
    </w:p>
    <w:p w14:paraId="4A42CB3B" w14:textId="737976F2" w:rsidR="003A09ED" w:rsidRPr="003A09ED" w:rsidRDefault="003A09ED" w:rsidP="00516556">
      <w:pPr>
        <w:numPr>
          <w:ilvl w:val="0"/>
          <w:numId w:val="13"/>
        </w:numPr>
        <w:spacing w:after="75"/>
        <w:contextualSpacing/>
        <w:rPr>
          <w:rFonts w:asciiTheme="minorHAnsi" w:hAnsiTheme="minorHAnsi" w:cstheme="minorHAnsi"/>
          <w:color w:val="0B0C0C"/>
        </w:rPr>
      </w:pPr>
      <w:r w:rsidRPr="003A09ED">
        <w:rPr>
          <w:rFonts w:asciiTheme="minorHAnsi" w:hAnsiTheme="minorHAnsi" w:cstheme="minorHAnsi"/>
          <w:color w:val="0B0C0C"/>
        </w:rPr>
        <w:t>infrequently, some patients may experience new or worsening changes in mood, sleep or behaviour such as nightmares, aggression, anxiety or thoughts about self-injury while using montelukast</w:t>
      </w:r>
      <w:r w:rsidR="00516556" w:rsidRPr="00516556">
        <w:rPr>
          <w:rFonts w:asciiTheme="minorHAnsi" w:hAnsiTheme="minorHAnsi" w:cstheme="minorHAnsi"/>
          <w:color w:val="0B0C0C"/>
        </w:rPr>
        <w:t xml:space="preserve">. </w:t>
      </w:r>
      <w:r w:rsidR="00516556">
        <w:rPr>
          <w:rFonts w:asciiTheme="minorHAnsi" w:hAnsiTheme="minorHAnsi" w:cstheme="minorHAnsi"/>
          <w:color w:val="0B0C0C"/>
        </w:rPr>
        <w:t>Y</w:t>
      </w:r>
      <w:r w:rsidRPr="003A09ED">
        <w:rPr>
          <w:rFonts w:asciiTheme="minorHAnsi" w:hAnsiTheme="minorHAnsi" w:cstheme="minorHAnsi"/>
          <w:color w:val="0B0C0C"/>
        </w:rPr>
        <w:t>ou should seek immediate medical attention if you or your child experiences these symptoms; your prescriber is best placed to advise you on stopping this medicine if needed</w:t>
      </w:r>
      <w:r w:rsidR="00516556" w:rsidRPr="00516556">
        <w:rPr>
          <w:rFonts w:asciiTheme="minorHAnsi" w:hAnsiTheme="minorHAnsi" w:cstheme="minorHAnsi"/>
          <w:color w:val="0B0C0C"/>
        </w:rPr>
        <w:t>.</w:t>
      </w:r>
    </w:p>
    <w:p w14:paraId="7F7B7B0F" w14:textId="355454C9" w:rsidR="003A09ED" w:rsidRPr="003A09ED" w:rsidRDefault="003A09ED" w:rsidP="00516556">
      <w:pPr>
        <w:numPr>
          <w:ilvl w:val="0"/>
          <w:numId w:val="13"/>
        </w:numPr>
        <w:spacing w:after="75"/>
        <w:contextualSpacing/>
        <w:rPr>
          <w:rFonts w:asciiTheme="minorHAnsi" w:hAnsiTheme="minorHAnsi" w:cstheme="minorHAnsi"/>
          <w:color w:val="0B0C0C"/>
        </w:rPr>
      </w:pPr>
      <w:r w:rsidRPr="003A09ED">
        <w:rPr>
          <w:rFonts w:asciiTheme="minorHAnsi" w:hAnsiTheme="minorHAnsi" w:cstheme="minorHAnsi"/>
          <w:color w:val="0B0C0C"/>
        </w:rPr>
        <w:t xml:space="preserve">it is very important to tell your friends and family that you are taking montelukast and that this medicine is associated with infrequent neuropsychiatric side effects. </w:t>
      </w:r>
      <w:r w:rsidR="00A82C8C">
        <w:rPr>
          <w:rFonts w:asciiTheme="minorHAnsi" w:hAnsiTheme="minorHAnsi" w:cstheme="minorHAnsi"/>
          <w:color w:val="0B0C0C"/>
        </w:rPr>
        <w:t>Y</w:t>
      </w:r>
      <w:r w:rsidRPr="003A09ED">
        <w:rPr>
          <w:rFonts w:asciiTheme="minorHAnsi" w:hAnsiTheme="minorHAnsi" w:cstheme="minorHAnsi"/>
          <w:color w:val="0B0C0C"/>
        </w:rPr>
        <w:t>ou may not notice some changes in your mood, sleep, and behaviour. Other people may notice changes or new symptoms that you need to talk to your prescriber about</w:t>
      </w:r>
      <w:r w:rsidR="00516556">
        <w:rPr>
          <w:rFonts w:asciiTheme="minorHAnsi" w:hAnsiTheme="minorHAnsi" w:cstheme="minorHAnsi"/>
          <w:color w:val="0B0C0C"/>
        </w:rPr>
        <w:t>.</w:t>
      </w:r>
    </w:p>
    <w:p w14:paraId="62D9ED58" w14:textId="77777777" w:rsidR="00516556" w:rsidRDefault="003A09ED" w:rsidP="00516556">
      <w:pPr>
        <w:numPr>
          <w:ilvl w:val="0"/>
          <w:numId w:val="13"/>
        </w:numPr>
        <w:spacing w:after="75"/>
        <w:contextualSpacing/>
        <w:rPr>
          <w:rFonts w:asciiTheme="minorHAnsi" w:hAnsiTheme="minorHAnsi" w:cstheme="minorHAnsi"/>
          <w:color w:val="0B0C0C"/>
        </w:rPr>
      </w:pPr>
      <w:r w:rsidRPr="003A09ED">
        <w:rPr>
          <w:rFonts w:asciiTheme="minorHAnsi" w:hAnsiTheme="minorHAnsi" w:cstheme="minorHAnsi"/>
          <w:color w:val="0B0C0C"/>
        </w:rPr>
        <w:t>the Patient Information Leaflet that comes with all montelukast products now includes warnings and advice about these psychiatric side effects in a black box</w:t>
      </w:r>
      <w:r w:rsidR="00516556" w:rsidRPr="00516556">
        <w:rPr>
          <w:rFonts w:asciiTheme="minorHAnsi" w:hAnsiTheme="minorHAnsi" w:cstheme="minorHAnsi"/>
          <w:color w:val="0B0C0C"/>
        </w:rPr>
        <w:t xml:space="preserve">. </w:t>
      </w:r>
      <w:r w:rsidR="00516556">
        <w:rPr>
          <w:rFonts w:asciiTheme="minorHAnsi" w:hAnsiTheme="minorHAnsi" w:cstheme="minorHAnsi"/>
          <w:color w:val="0B0C0C"/>
        </w:rPr>
        <w:t>I</w:t>
      </w:r>
      <w:r w:rsidRPr="003A09ED">
        <w:rPr>
          <w:rFonts w:asciiTheme="minorHAnsi" w:hAnsiTheme="minorHAnsi" w:cstheme="minorHAnsi"/>
          <w:color w:val="0B0C0C"/>
        </w:rPr>
        <w:t>t is important to read the Patient Information Leaflet that comes with your medicine or your child’s medicine</w:t>
      </w:r>
    </w:p>
    <w:p w14:paraId="2CC4280F" w14:textId="4BBA5DA7" w:rsidR="00516556" w:rsidRPr="003A09ED" w:rsidRDefault="003A09ED" w:rsidP="00516556">
      <w:pPr>
        <w:numPr>
          <w:ilvl w:val="0"/>
          <w:numId w:val="13"/>
        </w:numPr>
        <w:spacing w:after="75"/>
        <w:contextualSpacing/>
        <w:rPr>
          <w:rFonts w:ascii="Calibri" w:hAnsi="Calibri" w:cs="Calibri"/>
          <w:color w:val="0B0C0C"/>
        </w:rPr>
      </w:pPr>
      <w:r w:rsidRPr="003A09ED">
        <w:rPr>
          <w:rFonts w:ascii="Calibri" w:hAnsi="Calibri" w:cs="Calibri"/>
          <w:color w:val="0B0C0C"/>
        </w:rPr>
        <w:lastRenderedPageBreak/>
        <w:t xml:space="preserve">patients, parents, and caregivers can report suspected adverse drug reactions to montelukast via </w:t>
      </w:r>
      <w:r w:rsidR="00516556" w:rsidRPr="00A82C8C">
        <w:rPr>
          <w:rFonts w:ascii="Calibri" w:hAnsi="Calibri" w:cs="Calibri"/>
          <w:color w:val="0B0C0C"/>
        </w:rPr>
        <w:t>the yellow card scheme. Access can be found using th</w:t>
      </w:r>
      <w:r w:rsidR="00A82C8C">
        <w:rPr>
          <w:rFonts w:ascii="Calibri" w:hAnsi="Calibri" w:cs="Calibri"/>
          <w:color w:val="0B0C0C"/>
        </w:rPr>
        <w:t>is link to the</w:t>
      </w:r>
      <w:r w:rsidR="00516556" w:rsidRPr="003A09ED">
        <w:rPr>
          <w:rFonts w:ascii="Calibri" w:hAnsi="Calibri" w:cs="Calibri"/>
          <w:color w:val="0B0C0C"/>
        </w:rPr>
        <w:t> </w:t>
      </w:r>
      <w:hyperlink r:id="rId12" w:history="1">
        <w:r w:rsidR="00516556" w:rsidRPr="003A09ED">
          <w:rPr>
            <w:rFonts w:ascii="Calibri" w:hAnsi="Calibri" w:cs="Calibri"/>
            <w:b/>
            <w:bCs/>
            <w:color w:val="1D70B8"/>
            <w:u w:val="single"/>
          </w:rPr>
          <w:t>Yellow Card scheme</w:t>
        </w:r>
      </w:hyperlink>
      <w:r w:rsidR="00516556" w:rsidRPr="00A82C8C">
        <w:rPr>
          <w:rFonts w:ascii="Calibri" w:hAnsi="Calibri" w:cs="Calibri"/>
          <w:b/>
          <w:bCs/>
          <w:color w:val="1D70B8"/>
          <w:u w:val="single"/>
        </w:rPr>
        <w:t>.</w:t>
      </w:r>
    </w:p>
    <w:p w14:paraId="5EC890D1" w14:textId="77777777" w:rsidR="003A09ED" w:rsidRPr="003A09ED" w:rsidRDefault="003A09ED" w:rsidP="00516556">
      <w:pPr>
        <w:shd w:val="clear" w:color="auto" w:fill="FFFFFF"/>
        <w:spacing w:before="300" w:after="300" w:line="240" w:lineRule="auto"/>
        <w:rPr>
          <w:rFonts w:ascii="Calibri" w:hAnsi="Calibri" w:cs="Calibri"/>
          <w:color w:val="0B0C0C"/>
        </w:rPr>
      </w:pPr>
      <w:r w:rsidRPr="003A09ED">
        <w:rPr>
          <w:rFonts w:ascii="Calibri" w:hAnsi="Calibri" w:cs="Calibri"/>
          <w:color w:val="0B0C0C"/>
        </w:rPr>
        <w:t xml:space="preserve">Since first authorised in the UK in 1998, there have been approximately 44 million prescriptions of montelukast issued. During this time, the MHRA has received 1,223 reports of suspected neuropsychiatric adverse reactions. </w:t>
      </w:r>
    </w:p>
    <w:p w14:paraId="4F6883EE" w14:textId="77777777" w:rsidR="003A09ED" w:rsidRPr="003A09ED" w:rsidRDefault="003A09ED" w:rsidP="00516556">
      <w:pPr>
        <w:rPr>
          <w:rFonts w:ascii="Calibri" w:eastAsiaTheme="minorHAnsi" w:hAnsi="Calibri" w:cs="Calibri"/>
          <w:lang w:eastAsia="en-US"/>
        </w:rPr>
      </w:pPr>
      <w:r w:rsidRPr="003A09ED">
        <w:rPr>
          <w:rFonts w:ascii="Calibri" w:hAnsi="Calibri" w:cs="Calibri"/>
          <w:color w:val="0B0C0C"/>
          <w:shd w:val="clear" w:color="auto" w:fill="FFFFFF"/>
        </w:rPr>
        <w:t>When reporting it is important that you provide as much information as possible, including information about batch numbers, medical history, any concomitant medication, onset timing, treatment dates, and product brand name.</w:t>
      </w:r>
    </w:p>
    <w:p w14:paraId="5B001D47" w14:textId="77777777" w:rsidR="00727D18" w:rsidRPr="00727D18" w:rsidRDefault="00727D18" w:rsidP="00727D18">
      <w:pPr>
        <w:rPr>
          <w:rFonts w:asciiTheme="minorHAnsi" w:eastAsiaTheme="minorHAnsi" w:hAnsiTheme="minorHAnsi" w:cstheme="minorHAnsi"/>
          <w:sz w:val="16"/>
          <w:szCs w:val="16"/>
          <w:lang w:eastAsia="en-US"/>
        </w:rPr>
      </w:pPr>
    </w:p>
    <w:p w14:paraId="1BC0DAC2" w14:textId="77777777" w:rsidR="00727D18" w:rsidRPr="00727D18" w:rsidRDefault="00727D18" w:rsidP="00727D18">
      <w:pPr>
        <w:rPr>
          <w:rFonts w:asciiTheme="minorHAnsi" w:eastAsiaTheme="minorHAnsi" w:hAnsiTheme="minorHAnsi" w:cstheme="minorHAnsi"/>
          <w:sz w:val="16"/>
          <w:szCs w:val="16"/>
          <w:lang w:eastAsia="en-US"/>
        </w:rPr>
      </w:pPr>
    </w:p>
    <w:p w14:paraId="7F326F36" w14:textId="77777777" w:rsidR="00727D18" w:rsidRPr="00727D18" w:rsidRDefault="00727D18" w:rsidP="00727D18">
      <w:pPr>
        <w:rPr>
          <w:rFonts w:asciiTheme="minorHAnsi" w:eastAsiaTheme="minorHAnsi" w:hAnsiTheme="minorHAnsi" w:cstheme="minorHAnsi"/>
          <w:sz w:val="16"/>
          <w:szCs w:val="16"/>
          <w:lang w:eastAsia="en-US"/>
        </w:rPr>
      </w:pPr>
    </w:p>
    <w:p w14:paraId="0066D99F" w14:textId="77777777" w:rsidR="00727D18" w:rsidRPr="00727D18" w:rsidRDefault="00727D18" w:rsidP="00727D18">
      <w:pPr>
        <w:rPr>
          <w:rFonts w:asciiTheme="minorHAnsi" w:eastAsiaTheme="minorHAnsi" w:hAnsiTheme="minorHAnsi" w:cstheme="minorHAnsi"/>
          <w:sz w:val="16"/>
          <w:szCs w:val="16"/>
          <w:lang w:eastAsia="en-US"/>
        </w:rPr>
      </w:pPr>
    </w:p>
    <w:p w14:paraId="094C027C" w14:textId="77777777" w:rsidR="00727D18" w:rsidRPr="00727D18" w:rsidRDefault="00727D18" w:rsidP="00727D18">
      <w:pPr>
        <w:rPr>
          <w:rFonts w:asciiTheme="minorHAnsi" w:eastAsiaTheme="minorHAnsi" w:hAnsiTheme="minorHAnsi" w:cstheme="minorHAnsi"/>
          <w:sz w:val="16"/>
          <w:szCs w:val="16"/>
          <w:lang w:eastAsia="en-US"/>
        </w:rPr>
      </w:pPr>
    </w:p>
    <w:p w14:paraId="01C27CF9" w14:textId="1D40FBC8" w:rsidR="00727D18" w:rsidRPr="00727D18" w:rsidRDefault="00727D18" w:rsidP="00727D18">
      <w:pPr>
        <w:tabs>
          <w:tab w:val="left" w:pos="1965"/>
        </w:tabs>
        <w:rPr>
          <w:rFonts w:asciiTheme="minorHAnsi" w:eastAsiaTheme="minorHAnsi" w:hAnsiTheme="minorHAnsi" w:cstheme="minorHAnsi"/>
          <w:sz w:val="16"/>
          <w:szCs w:val="16"/>
          <w:lang w:eastAsia="en-US"/>
        </w:rPr>
      </w:pPr>
      <w:r>
        <w:rPr>
          <w:rFonts w:asciiTheme="minorHAnsi" w:eastAsiaTheme="minorHAnsi" w:hAnsiTheme="minorHAnsi" w:cstheme="minorHAnsi"/>
          <w:sz w:val="16"/>
          <w:szCs w:val="16"/>
          <w:lang w:eastAsia="en-US"/>
        </w:rPr>
        <w:tab/>
      </w:r>
    </w:p>
    <w:sectPr w:rsidR="00727D18" w:rsidRPr="00727D18" w:rsidSect="00516556">
      <w:headerReference w:type="default" r:id="rId13"/>
      <w:footerReference w:type="default" r:id="rId14"/>
      <w:pgSz w:w="11906" w:h="16838"/>
      <w:pgMar w:top="1440" w:right="1080" w:bottom="1440" w:left="1080" w:header="22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3F86E" w14:textId="77777777" w:rsidR="004644FE" w:rsidRDefault="004644FE">
      <w:pPr>
        <w:spacing w:after="0" w:line="240" w:lineRule="auto"/>
      </w:pPr>
      <w:r>
        <w:separator/>
      </w:r>
    </w:p>
  </w:endnote>
  <w:endnote w:type="continuationSeparator" w:id="0">
    <w:p w14:paraId="7DF9E3CE" w14:textId="77777777" w:rsidR="004644FE" w:rsidRDefault="004644FE">
      <w:pPr>
        <w:spacing w:after="0" w:line="240" w:lineRule="auto"/>
      </w:pPr>
      <w:r>
        <w:continuationSeparator/>
      </w:r>
    </w:p>
  </w:endnote>
  <w:endnote w:type="continuationNotice" w:id="1">
    <w:p w14:paraId="3E27E34C" w14:textId="77777777" w:rsidR="004644FE" w:rsidRDefault="004644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5C92C" w14:textId="77777777" w:rsidR="00727D18" w:rsidRPr="00EA25BC" w:rsidRDefault="00727D18" w:rsidP="00727D18">
    <w:pPr>
      <w:spacing w:after="0"/>
      <w:rPr>
        <w:rFonts w:asciiTheme="minorHAnsi" w:eastAsiaTheme="minorEastAsia" w:hAnsiTheme="minorHAnsi" w:cstheme="minorHAnsi"/>
        <w:b/>
        <w:bCs/>
        <w:sz w:val="22"/>
        <w:szCs w:val="22"/>
        <w:lang w:eastAsia="en-US"/>
      </w:rPr>
    </w:pPr>
    <w:r w:rsidRPr="00EA25BC">
      <w:rPr>
        <w:rFonts w:asciiTheme="minorHAnsi" w:eastAsiaTheme="minorEastAsia" w:hAnsiTheme="minorHAnsi" w:cstheme="minorHAnsi"/>
        <w:b/>
        <w:bCs/>
        <w:sz w:val="22"/>
        <w:szCs w:val="22"/>
        <w:lang w:eastAsia="en-US"/>
      </w:rPr>
      <w:t>To contact the Medicines Optimisation Team please phone 01772 504850</w:t>
    </w:r>
  </w:p>
  <w:p w14:paraId="1D635F86" w14:textId="7D7B2D3B" w:rsidR="00727D18" w:rsidRPr="00835107" w:rsidRDefault="00727D18" w:rsidP="00727D18">
    <w:pPr>
      <w:spacing w:after="0" w:line="240" w:lineRule="auto"/>
      <w:rPr>
        <w:rStyle w:val="Hyperlink"/>
        <w:rFonts w:asciiTheme="minorHAnsi" w:eastAsiaTheme="minorHAnsi" w:hAnsiTheme="minorHAnsi" w:cstheme="minorHAnsi"/>
        <w:b/>
        <w:color w:val="A20000"/>
        <w:sz w:val="22"/>
        <w:szCs w:val="22"/>
        <w:lang w:eastAsia="en-US"/>
      </w:rPr>
    </w:pPr>
    <w:r w:rsidRPr="00835107">
      <w:rPr>
        <w:rFonts w:asciiTheme="minorHAnsi" w:eastAsiaTheme="minorHAnsi" w:hAnsiTheme="minorHAnsi" w:cstheme="minorHAnsi"/>
        <w:b/>
        <w:color w:val="A20000"/>
        <w:sz w:val="22"/>
        <w:szCs w:val="22"/>
        <w:lang w:eastAsia="en-US"/>
      </w:rPr>
      <w:t xml:space="preserve">If you have any suggestions for future topics to cover in our prescribing tips please contact </w:t>
    </w:r>
    <w:hyperlink r:id="rId1" w:history="1">
      <w:r w:rsidRPr="00835107">
        <w:rPr>
          <w:rStyle w:val="Hyperlink"/>
          <w:rFonts w:asciiTheme="minorHAnsi" w:eastAsiaTheme="minorHAnsi" w:hAnsiTheme="minorHAnsi" w:cstheme="minorHAnsi"/>
          <w:b/>
          <w:color w:val="A20000"/>
          <w:sz w:val="22"/>
          <w:szCs w:val="22"/>
          <w:u w:val="none"/>
          <w:lang w:eastAsia="en-US"/>
        </w:rPr>
        <w:t>Nicola.schaffel@nhs.net</w:t>
      </w:r>
    </w:hyperlink>
  </w:p>
  <w:p w14:paraId="0854568C" w14:textId="77777777" w:rsidR="00727D18" w:rsidRPr="00EA25BC" w:rsidRDefault="00727D18" w:rsidP="00727D18">
    <w:pPr>
      <w:spacing w:after="0" w:line="240" w:lineRule="auto"/>
      <w:rPr>
        <w:rStyle w:val="Hyperlink"/>
        <w:rFonts w:asciiTheme="minorHAnsi" w:eastAsiaTheme="minorHAnsi" w:hAnsiTheme="minorHAnsi" w:cstheme="minorHAnsi"/>
        <w:b/>
        <w:color w:val="auto"/>
        <w:sz w:val="22"/>
        <w:szCs w:val="22"/>
        <w:u w:val="none"/>
        <w:lang w:eastAsia="en-US"/>
      </w:rPr>
    </w:pPr>
    <w:r w:rsidRPr="00EA25BC">
      <w:rPr>
        <w:rStyle w:val="Hyperlink"/>
        <w:rFonts w:asciiTheme="minorHAnsi" w:eastAsiaTheme="minorHAnsi" w:hAnsiTheme="minorHAnsi" w:cstheme="minorHAnsi"/>
        <w:b/>
        <w:color w:val="auto"/>
        <w:sz w:val="22"/>
        <w:szCs w:val="22"/>
        <w:u w:val="none"/>
        <w:lang w:eastAsia="en-US"/>
      </w:rPr>
      <w:t>All content accurate and correct on the date of issue of this tip.</w:t>
    </w:r>
  </w:p>
  <w:p w14:paraId="782BF7D7" w14:textId="77777777" w:rsidR="00727D18" w:rsidRDefault="00727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CFC96" w14:textId="77777777" w:rsidR="004644FE" w:rsidRDefault="004644FE">
      <w:pPr>
        <w:spacing w:after="0" w:line="240" w:lineRule="auto"/>
      </w:pPr>
      <w:r>
        <w:separator/>
      </w:r>
    </w:p>
  </w:footnote>
  <w:footnote w:type="continuationSeparator" w:id="0">
    <w:p w14:paraId="20892EC1" w14:textId="77777777" w:rsidR="004644FE" w:rsidRDefault="004644FE">
      <w:pPr>
        <w:spacing w:after="0" w:line="240" w:lineRule="auto"/>
      </w:pPr>
      <w:r>
        <w:continuationSeparator/>
      </w:r>
    </w:p>
  </w:footnote>
  <w:footnote w:type="continuationNotice" w:id="1">
    <w:p w14:paraId="4FC319C6" w14:textId="77777777" w:rsidR="004644FE" w:rsidRDefault="004644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176ED" w14:textId="7C914C33" w:rsidR="00305C95" w:rsidRPr="0042428A" w:rsidRDefault="009F4FC4" w:rsidP="00D37948">
    <w:pPr>
      <w:pStyle w:val="Header"/>
      <w:spacing w:after="0" w:line="240" w:lineRule="auto"/>
      <w:jc w:val="both"/>
      <w:rPr>
        <w:rFonts w:ascii="Arial" w:hAnsi="Arial" w:cs="Arial"/>
        <w:sz w:val="20"/>
        <w:szCs w:val="20"/>
      </w:rPr>
    </w:pPr>
    <w:r w:rsidRPr="00886464">
      <w:rPr>
        <w:rFonts w:asciiTheme="minorHAnsi" w:hAnsiTheme="minorHAnsi" w:cstheme="minorHAnsi"/>
        <w:noProof/>
        <w:sz w:val="22"/>
        <w:szCs w:val="22"/>
        <w:lang w:val="en-US"/>
      </w:rPr>
      <w:drawing>
        <wp:anchor distT="0" distB="0" distL="114300" distR="114300" simplePos="0" relativeHeight="251662848" behindDoc="1" locked="0" layoutInCell="1" allowOverlap="1" wp14:anchorId="74DE3A08" wp14:editId="4E95BACE">
          <wp:simplePos x="0" y="0"/>
          <wp:positionH relativeFrom="column">
            <wp:posOffset>4378669</wp:posOffset>
          </wp:positionH>
          <wp:positionV relativeFrom="paragraph">
            <wp:posOffset>-29845</wp:posOffset>
          </wp:positionV>
          <wp:extent cx="1838068" cy="647700"/>
          <wp:effectExtent l="0" t="0" r="0" b="0"/>
          <wp:wrapNone/>
          <wp:docPr id="145077018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770185"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r="35964" b="-5468"/>
                  <a:stretch/>
                </pic:blipFill>
                <pic:spPr bwMode="auto">
                  <a:xfrm>
                    <a:off x="0" y="0"/>
                    <a:ext cx="1841451" cy="64889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86464">
      <w:rPr>
        <w:rFonts w:asciiTheme="minorHAnsi" w:hAnsiTheme="minorHAnsi" w:cstheme="minorHAnsi"/>
        <w:noProof/>
        <w:sz w:val="22"/>
        <w:szCs w:val="22"/>
      </w:rPr>
      <w:drawing>
        <wp:anchor distT="0" distB="0" distL="114300" distR="114300" simplePos="0" relativeHeight="251657728" behindDoc="1" locked="0" layoutInCell="1" allowOverlap="1" wp14:anchorId="16F416FE" wp14:editId="579EB033">
          <wp:simplePos x="0" y="0"/>
          <wp:positionH relativeFrom="column">
            <wp:posOffset>3048000</wp:posOffset>
          </wp:positionH>
          <wp:positionV relativeFrom="paragraph">
            <wp:posOffset>-40685</wp:posOffset>
          </wp:positionV>
          <wp:extent cx="1257300" cy="821736"/>
          <wp:effectExtent l="0" t="0" r="0" b="0"/>
          <wp:wrapNone/>
          <wp:docPr id="361248214" name="Picture 3612482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248214" name="Picture 36124821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1259063" cy="822888"/>
                  </a:xfrm>
                  <a:prstGeom prst="rect">
                    <a:avLst/>
                  </a:prstGeom>
                </pic:spPr>
              </pic:pic>
            </a:graphicData>
          </a:graphic>
          <wp14:sizeRelH relativeFrom="page">
            <wp14:pctWidth>0</wp14:pctWidth>
          </wp14:sizeRelH>
          <wp14:sizeRelV relativeFrom="page">
            <wp14:pctHeight>0</wp14:pctHeight>
          </wp14:sizeRelV>
        </wp:anchor>
      </w:drawing>
    </w:r>
    <w:r w:rsidR="00305C95" w:rsidRPr="00886464">
      <w:rPr>
        <w:rFonts w:asciiTheme="minorHAnsi" w:hAnsiTheme="minorHAnsi" w:cstheme="minorHAnsi"/>
        <w:sz w:val="22"/>
        <w:szCs w:val="22"/>
      </w:rPr>
      <w:t>Prescribing tip number</w:t>
    </w:r>
    <w:r w:rsidR="00305C95" w:rsidRPr="0042428A">
      <w:rPr>
        <w:rFonts w:ascii="Arial" w:hAnsi="Arial" w:cs="Arial"/>
        <w:sz w:val="20"/>
        <w:szCs w:val="20"/>
      </w:rPr>
      <w:t>:</w:t>
    </w:r>
    <w:r>
      <w:rPr>
        <w:rFonts w:ascii="Arial" w:hAnsi="Arial" w:cs="Arial"/>
        <w:sz w:val="20"/>
        <w:szCs w:val="20"/>
      </w:rPr>
      <w:t xml:space="preserve"> 444</w:t>
    </w:r>
    <w:r w:rsidR="00305C95" w:rsidRPr="0042428A">
      <w:rPr>
        <w:rFonts w:ascii="Arial" w:hAnsi="Arial" w:cs="Arial"/>
        <w:sz w:val="20"/>
        <w:szCs w:val="20"/>
      </w:rPr>
      <w:t xml:space="preserve"> </w:t>
    </w:r>
  </w:p>
  <w:p w14:paraId="1DEE9DB2" w14:textId="22FA1F64" w:rsidR="00F942FE" w:rsidRDefault="00305C95" w:rsidP="009F4FC4">
    <w:pPr>
      <w:tabs>
        <w:tab w:val="left" w:pos="8070"/>
      </w:tabs>
      <w:rPr>
        <w:rFonts w:ascii="Arial" w:hAnsi="Arial" w:cs="Arial"/>
        <w:sz w:val="20"/>
        <w:szCs w:val="20"/>
      </w:rPr>
    </w:pPr>
    <w:r w:rsidRPr="00886464">
      <w:rPr>
        <w:rFonts w:asciiTheme="minorHAnsi" w:hAnsiTheme="minorHAnsi" w:cstheme="minorHAnsi"/>
        <w:sz w:val="22"/>
        <w:szCs w:val="22"/>
      </w:rPr>
      <w:t>Date</w:t>
    </w:r>
    <w:r w:rsidRPr="0042428A">
      <w:rPr>
        <w:rFonts w:ascii="Arial" w:hAnsi="Arial" w:cs="Arial"/>
        <w:sz w:val="20"/>
        <w:szCs w:val="20"/>
      </w:rPr>
      <w:t xml:space="preserve">: </w:t>
    </w:r>
    <w:r w:rsidR="009F4FC4">
      <w:rPr>
        <w:rFonts w:ascii="Arial" w:hAnsi="Arial" w:cs="Arial"/>
        <w:sz w:val="20"/>
        <w:szCs w:val="20"/>
      </w:rPr>
      <w:t>1</w:t>
    </w:r>
    <w:r w:rsidR="009F4FC4" w:rsidRPr="009F4FC4">
      <w:rPr>
        <w:rFonts w:ascii="Arial" w:hAnsi="Arial" w:cs="Arial"/>
        <w:sz w:val="20"/>
        <w:szCs w:val="20"/>
        <w:vertAlign w:val="superscript"/>
      </w:rPr>
      <w:t>st</w:t>
    </w:r>
    <w:r w:rsidR="009F4FC4">
      <w:rPr>
        <w:rFonts w:ascii="Arial" w:hAnsi="Arial" w:cs="Arial"/>
        <w:sz w:val="20"/>
        <w:szCs w:val="20"/>
      </w:rPr>
      <w:t xml:space="preserve"> August 2024</w:t>
    </w:r>
    <w:r w:rsidR="009F4FC4">
      <w:rPr>
        <w:rFonts w:ascii="Arial" w:hAnsi="Arial" w:cs="Arial"/>
        <w:sz w:val="20"/>
        <w:szCs w:val="20"/>
      </w:rPr>
      <w:tab/>
    </w:r>
  </w:p>
  <w:p w14:paraId="15FD7C05" w14:textId="5DB5AE5A" w:rsidR="00F942FE" w:rsidRPr="00C35223" w:rsidRDefault="00F942FE" w:rsidP="00F942FE">
    <w:pPr>
      <w:rPr>
        <w:rFonts w:asciiTheme="minorHAnsi" w:hAnsiTheme="minorHAnsi" w:cstheme="minorHAnsi"/>
        <w:b/>
        <w:bCs/>
        <w:color w:val="4472C4" w:themeColor="accent1"/>
        <w:sz w:val="28"/>
        <w:szCs w:val="28"/>
      </w:rPr>
    </w:pPr>
    <w:r w:rsidRPr="00C35223">
      <w:rPr>
        <w:rFonts w:asciiTheme="minorHAnsi" w:hAnsiTheme="minorHAnsi" w:cstheme="minorHAnsi"/>
        <w:b/>
        <w:bCs/>
        <w:color w:val="4472C4" w:themeColor="accent1"/>
        <w:sz w:val="28"/>
        <w:szCs w:val="28"/>
      </w:rPr>
      <w:t>Prescribing tip for information</w:t>
    </w:r>
  </w:p>
  <w:p w14:paraId="2430CE77" w14:textId="388B93E6" w:rsidR="00F942FE" w:rsidRDefault="00F942FE" w:rsidP="003667A1">
    <w:pPr>
      <w:pStyle w:val="Header"/>
      <w:tabs>
        <w:tab w:val="clear" w:pos="4513"/>
        <w:tab w:val="clear" w:pos="9026"/>
        <w:tab w:val="left" w:pos="8130"/>
      </w:tabs>
      <w:spacing w:after="0" w:line="240" w:lineRule="auto"/>
      <w:jc w:val="both"/>
      <w:rPr>
        <w:rFonts w:ascii="Arial" w:hAnsi="Arial" w:cs="Arial"/>
        <w:sz w:val="20"/>
        <w:szCs w:val="20"/>
      </w:rPr>
    </w:pPr>
  </w:p>
  <w:p w14:paraId="7CF38347" w14:textId="21B7D345" w:rsidR="00BF2F24" w:rsidRPr="0042428A" w:rsidRDefault="003667A1" w:rsidP="003667A1">
    <w:pPr>
      <w:pStyle w:val="Header"/>
      <w:tabs>
        <w:tab w:val="clear" w:pos="4513"/>
        <w:tab w:val="clear" w:pos="9026"/>
        <w:tab w:val="left" w:pos="8130"/>
      </w:tabs>
      <w:spacing w:after="0" w:line="240" w:lineRule="auto"/>
      <w:jc w:val="both"/>
      <w:rPr>
        <w:rFonts w:ascii="Arial" w:hAnsi="Arial" w:cs="Arial"/>
        <w:sz w:val="20"/>
        <w:szCs w:val="20"/>
      </w:rPr>
    </w:pPr>
    <w:r>
      <w:rPr>
        <w:rFonts w:ascii="Arial" w:hAnsi="Arial"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6629D"/>
    <w:multiLevelType w:val="multilevel"/>
    <w:tmpl w:val="BF78D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3E3D6D"/>
    <w:multiLevelType w:val="hybridMultilevel"/>
    <w:tmpl w:val="CC4AA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B05C97"/>
    <w:multiLevelType w:val="hybridMultilevel"/>
    <w:tmpl w:val="E6DAFD2C"/>
    <w:lvl w:ilvl="0" w:tplc="98766774">
      <w:start w:val="1"/>
      <w:numFmt w:val="bullet"/>
      <w:lvlText w:val=""/>
      <w:lvlJc w:val="left"/>
      <w:pPr>
        <w:ind w:left="720" w:hanging="360"/>
      </w:pPr>
      <w:rPr>
        <w:rFonts w:ascii="Symbol" w:hAnsi="Symbol" w:hint="default"/>
      </w:rPr>
    </w:lvl>
    <w:lvl w:ilvl="1" w:tplc="384E53E6">
      <w:start w:val="1"/>
      <w:numFmt w:val="bullet"/>
      <w:lvlText w:val="o"/>
      <w:lvlJc w:val="left"/>
      <w:pPr>
        <w:ind w:left="1440" w:hanging="360"/>
      </w:pPr>
      <w:rPr>
        <w:rFonts w:ascii="Courier New" w:hAnsi="Courier New" w:hint="default"/>
      </w:rPr>
    </w:lvl>
    <w:lvl w:ilvl="2" w:tplc="37FE59DA">
      <w:start w:val="1"/>
      <w:numFmt w:val="bullet"/>
      <w:lvlText w:val=""/>
      <w:lvlJc w:val="left"/>
      <w:pPr>
        <w:ind w:left="2160" w:hanging="360"/>
      </w:pPr>
      <w:rPr>
        <w:rFonts w:ascii="Wingdings" w:hAnsi="Wingdings" w:hint="default"/>
      </w:rPr>
    </w:lvl>
    <w:lvl w:ilvl="3" w:tplc="7BDC03BE">
      <w:start w:val="1"/>
      <w:numFmt w:val="bullet"/>
      <w:lvlText w:val=""/>
      <w:lvlJc w:val="left"/>
      <w:pPr>
        <w:ind w:left="2880" w:hanging="360"/>
      </w:pPr>
      <w:rPr>
        <w:rFonts w:ascii="Symbol" w:hAnsi="Symbol" w:hint="default"/>
      </w:rPr>
    </w:lvl>
    <w:lvl w:ilvl="4" w:tplc="CE24C960">
      <w:start w:val="1"/>
      <w:numFmt w:val="bullet"/>
      <w:lvlText w:val="o"/>
      <w:lvlJc w:val="left"/>
      <w:pPr>
        <w:ind w:left="3600" w:hanging="360"/>
      </w:pPr>
      <w:rPr>
        <w:rFonts w:ascii="Courier New" w:hAnsi="Courier New" w:hint="default"/>
      </w:rPr>
    </w:lvl>
    <w:lvl w:ilvl="5" w:tplc="F4DC441A">
      <w:start w:val="1"/>
      <w:numFmt w:val="bullet"/>
      <w:lvlText w:val=""/>
      <w:lvlJc w:val="left"/>
      <w:pPr>
        <w:ind w:left="4320" w:hanging="360"/>
      </w:pPr>
      <w:rPr>
        <w:rFonts w:ascii="Wingdings" w:hAnsi="Wingdings" w:hint="default"/>
      </w:rPr>
    </w:lvl>
    <w:lvl w:ilvl="6" w:tplc="1C7872B4">
      <w:start w:val="1"/>
      <w:numFmt w:val="bullet"/>
      <w:lvlText w:val=""/>
      <w:lvlJc w:val="left"/>
      <w:pPr>
        <w:ind w:left="5040" w:hanging="360"/>
      </w:pPr>
      <w:rPr>
        <w:rFonts w:ascii="Symbol" w:hAnsi="Symbol" w:hint="default"/>
      </w:rPr>
    </w:lvl>
    <w:lvl w:ilvl="7" w:tplc="BF1A003A">
      <w:start w:val="1"/>
      <w:numFmt w:val="bullet"/>
      <w:lvlText w:val="o"/>
      <w:lvlJc w:val="left"/>
      <w:pPr>
        <w:ind w:left="5760" w:hanging="360"/>
      </w:pPr>
      <w:rPr>
        <w:rFonts w:ascii="Courier New" w:hAnsi="Courier New" w:hint="default"/>
      </w:rPr>
    </w:lvl>
    <w:lvl w:ilvl="8" w:tplc="E77C3760">
      <w:start w:val="1"/>
      <w:numFmt w:val="bullet"/>
      <w:lvlText w:val=""/>
      <w:lvlJc w:val="left"/>
      <w:pPr>
        <w:ind w:left="6480" w:hanging="360"/>
      </w:pPr>
      <w:rPr>
        <w:rFonts w:ascii="Wingdings" w:hAnsi="Wingdings" w:hint="default"/>
      </w:rPr>
    </w:lvl>
  </w:abstractNum>
  <w:abstractNum w:abstractNumId="3" w15:restartNumberingAfterBreak="0">
    <w:nsid w:val="278257B5"/>
    <w:multiLevelType w:val="hybridMultilevel"/>
    <w:tmpl w:val="15246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C32315"/>
    <w:multiLevelType w:val="hybridMultilevel"/>
    <w:tmpl w:val="3DB019C2"/>
    <w:lvl w:ilvl="0" w:tplc="08090001">
      <w:start w:val="1"/>
      <w:numFmt w:val="bullet"/>
      <w:lvlText w:val=""/>
      <w:lvlJc w:val="left"/>
      <w:pPr>
        <w:ind w:left="720" w:hanging="360"/>
      </w:pPr>
      <w:rPr>
        <w:rFonts w:ascii="Symbol" w:hAnsi="Symbol" w:hint="default"/>
      </w:rPr>
    </w:lvl>
    <w:lvl w:ilvl="1" w:tplc="1F10EDCA">
      <w:numFmt w:val="bullet"/>
      <w:lvlText w:val="·"/>
      <w:lvlJc w:val="left"/>
      <w:pPr>
        <w:ind w:left="1860" w:hanging="780"/>
      </w:pPr>
      <w:rPr>
        <w:rFonts w:ascii="Arial" w:eastAsia="Symbo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762DBC"/>
    <w:multiLevelType w:val="hybridMultilevel"/>
    <w:tmpl w:val="7286E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DD7071"/>
    <w:multiLevelType w:val="hybridMultilevel"/>
    <w:tmpl w:val="44C6E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290C79"/>
    <w:multiLevelType w:val="hybridMultilevel"/>
    <w:tmpl w:val="3BAED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DF32A1"/>
    <w:multiLevelType w:val="multilevel"/>
    <w:tmpl w:val="0158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3D31F7"/>
    <w:multiLevelType w:val="hybridMultilevel"/>
    <w:tmpl w:val="4B0C7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933DE5"/>
    <w:multiLevelType w:val="multilevel"/>
    <w:tmpl w:val="7812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D946E4"/>
    <w:multiLevelType w:val="hybridMultilevel"/>
    <w:tmpl w:val="F9246E72"/>
    <w:lvl w:ilvl="0" w:tplc="64720682">
      <w:start w:val="1"/>
      <w:numFmt w:val="bullet"/>
      <w:lvlText w:val=""/>
      <w:lvlJc w:val="left"/>
      <w:pPr>
        <w:ind w:left="720" w:hanging="360"/>
      </w:pPr>
      <w:rPr>
        <w:rFonts w:ascii="Symbol" w:hAnsi="Symbol" w:hint="default"/>
      </w:rPr>
    </w:lvl>
    <w:lvl w:ilvl="1" w:tplc="222416D4">
      <w:start w:val="1"/>
      <w:numFmt w:val="bullet"/>
      <w:lvlText w:val="o"/>
      <w:lvlJc w:val="left"/>
      <w:pPr>
        <w:ind w:left="1440" w:hanging="360"/>
      </w:pPr>
      <w:rPr>
        <w:rFonts w:ascii="Courier New" w:hAnsi="Courier New" w:hint="default"/>
      </w:rPr>
    </w:lvl>
    <w:lvl w:ilvl="2" w:tplc="1756C3D2">
      <w:start w:val="1"/>
      <w:numFmt w:val="bullet"/>
      <w:lvlText w:val=""/>
      <w:lvlJc w:val="left"/>
      <w:pPr>
        <w:ind w:left="2160" w:hanging="360"/>
      </w:pPr>
      <w:rPr>
        <w:rFonts w:ascii="Wingdings" w:hAnsi="Wingdings" w:hint="default"/>
      </w:rPr>
    </w:lvl>
    <w:lvl w:ilvl="3" w:tplc="E91ED25E">
      <w:start w:val="1"/>
      <w:numFmt w:val="bullet"/>
      <w:lvlText w:val=""/>
      <w:lvlJc w:val="left"/>
      <w:pPr>
        <w:ind w:left="2880" w:hanging="360"/>
      </w:pPr>
      <w:rPr>
        <w:rFonts w:ascii="Symbol" w:hAnsi="Symbol" w:hint="default"/>
      </w:rPr>
    </w:lvl>
    <w:lvl w:ilvl="4" w:tplc="DF1E09A2">
      <w:start w:val="1"/>
      <w:numFmt w:val="bullet"/>
      <w:lvlText w:val="o"/>
      <w:lvlJc w:val="left"/>
      <w:pPr>
        <w:ind w:left="3600" w:hanging="360"/>
      </w:pPr>
      <w:rPr>
        <w:rFonts w:ascii="Courier New" w:hAnsi="Courier New" w:hint="default"/>
      </w:rPr>
    </w:lvl>
    <w:lvl w:ilvl="5" w:tplc="E206B066">
      <w:start w:val="1"/>
      <w:numFmt w:val="bullet"/>
      <w:lvlText w:val=""/>
      <w:lvlJc w:val="left"/>
      <w:pPr>
        <w:ind w:left="4320" w:hanging="360"/>
      </w:pPr>
      <w:rPr>
        <w:rFonts w:ascii="Wingdings" w:hAnsi="Wingdings" w:hint="default"/>
      </w:rPr>
    </w:lvl>
    <w:lvl w:ilvl="6" w:tplc="C7C0CA3C">
      <w:start w:val="1"/>
      <w:numFmt w:val="bullet"/>
      <w:lvlText w:val=""/>
      <w:lvlJc w:val="left"/>
      <w:pPr>
        <w:ind w:left="5040" w:hanging="360"/>
      </w:pPr>
      <w:rPr>
        <w:rFonts w:ascii="Symbol" w:hAnsi="Symbol" w:hint="default"/>
      </w:rPr>
    </w:lvl>
    <w:lvl w:ilvl="7" w:tplc="D8AAA82C">
      <w:start w:val="1"/>
      <w:numFmt w:val="bullet"/>
      <w:lvlText w:val="o"/>
      <w:lvlJc w:val="left"/>
      <w:pPr>
        <w:ind w:left="5760" w:hanging="360"/>
      </w:pPr>
      <w:rPr>
        <w:rFonts w:ascii="Courier New" w:hAnsi="Courier New" w:hint="default"/>
      </w:rPr>
    </w:lvl>
    <w:lvl w:ilvl="8" w:tplc="2C0AC94C">
      <w:start w:val="1"/>
      <w:numFmt w:val="bullet"/>
      <w:lvlText w:val=""/>
      <w:lvlJc w:val="left"/>
      <w:pPr>
        <w:ind w:left="6480" w:hanging="360"/>
      </w:pPr>
      <w:rPr>
        <w:rFonts w:ascii="Wingdings" w:hAnsi="Wingdings" w:hint="default"/>
      </w:rPr>
    </w:lvl>
  </w:abstractNum>
  <w:abstractNum w:abstractNumId="12" w15:restartNumberingAfterBreak="0">
    <w:nsid w:val="6CBE7D3A"/>
    <w:multiLevelType w:val="multilevel"/>
    <w:tmpl w:val="EDD6C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96448">
    <w:abstractNumId w:val="11"/>
  </w:num>
  <w:num w:numId="2" w16cid:durableId="1267424891">
    <w:abstractNumId w:val="8"/>
  </w:num>
  <w:num w:numId="3" w16cid:durableId="1391272994">
    <w:abstractNumId w:val="9"/>
  </w:num>
  <w:num w:numId="4" w16cid:durableId="1224831107">
    <w:abstractNumId w:val="10"/>
  </w:num>
  <w:num w:numId="5" w16cid:durableId="48652778">
    <w:abstractNumId w:val="0"/>
  </w:num>
  <w:num w:numId="6" w16cid:durableId="378936557">
    <w:abstractNumId w:val="3"/>
  </w:num>
  <w:num w:numId="7" w16cid:durableId="1591426942">
    <w:abstractNumId w:val="2"/>
  </w:num>
  <w:num w:numId="8" w16cid:durableId="811869610">
    <w:abstractNumId w:val="4"/>
  </w:num>
  <w:num w:numId="9" w16cid:durableId="576019971">
    <w:abstractNumId w:val="1"/>
  </w:num>
  <w:num w:numId="10" w16cid:durableId="1133406799">
    <w:abstractNumId w:val="6"/>
  </w:num>
  <w:num w:numId="11" w16cid:durableId="824509651">
    <w:abstractNumId w:val="7"/>
  </w:num>
  <w:num w:numId="12" w16cid:durableId="1350793996">
    <w:abstractNumId w:val="12"/>
  </w:num>
  <w:num w:numId="13" w16cid:durableId="8403886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B0D"/>
    <w:rsid w:val="00024900"/>
    <w:rsid w:val="0009011C"/>
    <w:rsid w:val="000B325A"/>
    <w:rsid w:val="000E1DDB"/>
    <w:rsid w:val="00187120"/>
    <w:rsid w:val="001E378E"/>
    <w:rsid w:val="00244F14"/>
    <w:rsid w:val="0024595D"/>
    <w:rsid w:val="002F5C53"/>
    <w:rsid w:val="0030164A"/>
    <w:rsid w:val="00305C95"/>
    <w:rsid w:val="00327F5B"/>
    <w:rsid w:val="00364258"/>
    <w:rsid w:val="003667A1"/>
    <w:rsid w:val="00395C1C"/>
    <w:rsid w:val="003A09ED"/>
    <w:rsid w:val="0042428A"/>
    <w:rsid w:val="004644FE"/>
    <w:rsid w:val="0047102E"/>
    <w:rsid w:val="004935FE"/>
    <w:rsid w:val="004A57E2"/>
    <w:rsid w:val="004E0A98"/>
    <w:rsid w:val="00516556"/>
    <w:rsid w:val="00585282"/>
    <w:rsid w:val="005971C4"/>
    <w:rsid w:val="005B1FD2"/>
    <w:rsid w:val="005E4EF4"/>
    <w:rsid w:val="0061157D"/>
    <w:rsid w:val="00622C26"/>
    <w:rsid w:val="006254FB"/>
    <w:rsid w:val="00625F39"/>
    <w:rsid w:val="00670900"/>
    <w:rsid w:val="00681EB0"/>
    <w:rsid w:val="006B59AD"/>
    <w:rsid w:val="006E5481"/>
    <w:rsid w:val="006F2645"/>
    <w:rsid w:val="00710A7C"/>
    <w:rsid w:val="00714916"/>
    <w:rsid w:val="00727D18"/>
    <w:rsid w:val="008135C3"/>
    <w:rsid w:val="00835107"/>
    <w:rsid w:val="00886464"/>
    <w:rsid w:val="008A0AF8"/>
    <w:rsid w:val="008A10D4"/>
    <w:rsid w:val="008A4C51"/>
    <w:rsid w:val="008A5995"/>
    <w:rsid w:val="008B6EB5"/>
    <w:rsid w:val="008C006F"/>
    <w:rsid w:val="008D0DFE"/>
    <w:rsid w:val="008F04B5"/>
    <w:rsid w:val="008F4950"/>
    <w:rsid w:val="009E1725"/>
    <w:rsid w:val="009F4723"/>
    <w:rsid w:val="009F4FC4"/>
    <w:rsid w:val="00A473C6"/>
    <w:rsid w:val="00A82C8C"/>
    <w:rsid w:val="00AF33FD"/>
    <w:rsid w:val="00AF4895"/>
    <w:rsid w:val="00B22354"/>
    <w:rsid w:val="00B650AF"/>
    <w:rsid w:val="00B73435"/>
    <w:rsid w:val="00B76758"/>
    <w:rsid w:val="00BE2D36"/>
    <w:rsid w:val="00BF2F24"/>
    <w:rsid w:val="00C001C1"/>
    <w:rsid w:val="00C00B0D"/>
    <w:rsid w:val="00C25C25"/>
    <w:rsid w:val="00C35223"/>
    <w:rsid w:val="00C44128"/>
    <w:rsid w:val="00CD065E"/>
    <w:rsid w:val="00CE24AC"/>
    <w:rsid w:val="00D04324"/>
    <w:rsid w:val="00D16374"/>
    <w:rsid w:val="00D20CC0"/>
    <w:rsid w:val="00D37948"/>
    <w:rsid w:val="00D65615"/>
    <w:rsid w:val="00DD5E48"/>
    <w:rsid w:val="00DF5F41"/>
    <w:rsid w:val="00E270DF"/>
    <w:rsid w:val="00E42C92"/>
    <w:rsid w:val="00E634F5"/>
    <w:rsid w:val="00E83248"/>
    <w:rsid w:val="00EA25BC"/>
    <w:rsid w:val="00EC6F98"/>
    <w:rsid w:val="00EE2A70"/>
    <w:rsid w:val="00EE5EE0"/>
    <w:rsid w:val="00F023EB"/>
    <w:rsid w:val="00F570BF"/>
    <w:rsid w:val="00F57404"/>
    <w:rsid w:val="00F942FE"/>
    <w:rsid w:val="00FB0CB5"/>
    <w:rsid w:val="00FB6A86"/>
    <w:rsid w:val="0376EE2B"/>
    <w:rsid w:val="03A25816"/>
    <w:rsid w:val="0875C939"/>
    <w:rsid w:val="09FDC11D"/>
    <w:rsid w:val="0BAD69FB"/>
    <w:rsid w:val="0C0FAA0C"/>
    <w:rsid w:val="0FA1C78F"/>
    <w:rsid w:val="187DD95A"/>
    <w:rsid w:val="1BB47DFD"/>
    <w:rsid w:val="1BE2521B"/>
    <w:rsid w:val="1D504E5E"/>
    <w:rsid w:val="23865EB2"/>
    <w:rsid w:val="26BDFF74"/>
    <w:rsid w:val="27CAEAC4"/>
    <w:rsid w:val="2AAB4E84"/>
    <w:rsid w:val="3046E4DC"/>
    <w:rsid w:val="329784B2"/>
    <w:rsid w:val="3B1D64B7"/>
    <w:rsid w:val="3D4B5248"/>
    <w:rsid w:val="3E550579"/>
    <w:rsid w:val="3EE722A9"/>
    <w:rsid w:val="41AC7356"/>
    <w:rsid w:val="44CE5F92"/>
    <w:rsid w:val="466A2FF3"/>
    <w:rsid w:val="48060054"/>
    <w:rsid w:val="4BFBE189"/>
    <w:rsid w:val="4C952C98"/>
    <w:rsid w:val="55E3DBB9"/>
    <w:rsid w:val="5819F90F"/>
    <w:rsid w:val="5A87374C"/>
    <w:rsid w:val="5C455CC4"/>
    <w:rsid w:val="5CA15469"/>
    <w:rsid w:val="5F56361D"/>
    <w:rsid w:val="62A2CF67"/>
    <w:rsid w:val="64A84D99"/>
    <w:rsid w:val="66441DFA"/>
    <w:rsid w:val="6CF25325"/>
    <w:rsid w:val="6DDE2892"/>
    <w:rsid w:val="6E4786DF"/>
    <w:rsid w:val="6FB6CA19"/>
    <w:rsid w:val="7058A66D"/>
    <w:rsid w:val="7C851748"/>
    <w:rsid w:val="7ED11201"/>
    <w:rsid w:val="7F427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F27BF"/>
  <w15:chartTrackingRefBased/>
  <w15:docId w15:val="{9953C710-6EBE-4C66-A454-31403F623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B0D"/>
    <w:pPr>
      <w:spacing w:after="200" w:line="276"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B0D"/>
    <w:pPr>
      <w:tabs>
        <w:tab w:val="center" w:pos="4513"/>
        <w:tab w:val="right" w:pos="9026"/>
      </w:tabs>
    </w:pPr>
  </w:style>
  <w:style w:type="character" w:customStyle="1" w:styleId="HeaderChar">
    <w:name w:val="Header Char"/>
    <w:basedOn w:val="DefaultParagraphFont"/>
    <w:link w:val="Header"/>
    <w:uiPriority w:val="99"/>
    <w:rsid w:val="00C00B0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00B0D"/>
    <w:pPr>
      <w:tabs>
        <w:tab w:val="center" w:pos="4513"/>
        <w:tab w:val="right" w:pos="9026"/>
      </w:tabs>
    </w:pPr>
  </w:style>
  <w:style w:type="character" w:customStyle="1" w:styleId="FooterChar">
    <w:name w:val="Footer Char"/>
    <w:basedOn w:val="DefaultParagraphFont"/>
    <w:link w:val="Footer"/>
    <w:uiPriority w:val="99"/>
    <w:rsid w:val="00C00B0D"/>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00B0D"/>
    <w:rPr>
      <w:color w:val="0563C1" w:themeColor="hyperlink"/>
      <w:u w:val="single"/>
    </w:rPr>
  </w:style>
  <w:style w:type="table" w:styleId="TableGrid">
    <w:name w:val="Table Grid"/>
    <w:basedOn w:val="TableNormal"/>
    <w:uiPriority w:val="39"/>
    <w:rsid w:val="00C00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95C1C"/>
    <w:rPr>
      <w:color w:val="605E5C"/>
      <w:shd w:val="clear" w:color="auto" w:fill="E1DFDD"/>
    </w:rPr>
  </w:style>
  <w:style w:type="paragraph" w:styleId="ListParagraph">
    <w:name w:val="List Paragraph"/>
    <w:basedOn w:val="Normal"/>
    <w:uiPriority w:val="34"/>
    <w:qFormat/>
    <w:rsid w:val="006E5481"/>
    <w:pPr>
      <w:ind w:left="720"/>
      <w:contextualSpacing/>
    </w:pPr>
  </w:style>
  <w:style w:type="paragraph" w:styleId="NoSpacing">
    <w:name w:val="No Spacing"/>
    <w:uiPriority w:val="1"/>
    <w:qFormat/>
    <w:rsid w:val="00364258"/>
    <w:pPr>
      <w:spacing w:after="0" w:line="240" w:lineRule="auto"/>
    </w:pPr>
    <w:rPr>
      <w:rFonts w:eastAsiaTheme="minorEastAsia"/>
      <w:sz w:val="21"/>
      <w:szCs w:val="21"/>
    </w:rPr>
  </w:style>
  <w:style w:type="character" w:styleId="FollowedHyperlink">
    <w:name w:val="FollowedHyperlink"/>
    <w:basedOn w:val="DefaultParagraphFont"/>
    <w:uiPriority w:val="99"/>
    <w:semiHidden/>
    <w:unhideWhenUsed/>
    <w:rsid w:val="008864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95319">
      <w:bodyDiv w:val="1"/>
      <w:marLeft w:val="0"/>
      <w:marRight w:val="0"/>
      <w:marTop w:val="0"/>
      <w:marBottom w:val="0"/>
      <w:divBdr>
        <w:top w:val="none" w:sz="0" w:space="0" w:color="auto"/>
        <w:left w:val="none" w:sz="0" w:space="0" w:color="auto"/>
        <w:bottom w:val="none" w:sz="0" w:space="0" w:color="auto"/>
        <w:right w:val="none" w:sz="0" w:space="0" w:color="auto"/>
      </w:divBdr>
    </w:div>
    <w:div w:id="96800590">
      <w:bodyDiv w:val="1"/>
      <w:marLeft w:val="0"/>
      <w:marRight w:val="0"/>
      <w:marTop w:val="0"/>
      <w:marBottom w:val="0"/>
      <w:divBdr>
        <w:top w:val="none" w:sz="0" w:space="0" w:color="auto"/>
        <w:left w:val="none" w:sz="0" w:space="0" w:color="auto"/>
        <w:bottom w:val="none" w:sz="0" w:space="0" w:color="auto"/>
        <w:right w:val="none" w:sz="0" w:space="0" w:color="auto"/>
      </w:divBdr>
    </w:div>
    <w:div w:id="159897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ellowcard.mhra.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ellowcard.mhra.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Nicola.schaffel@nhs.ne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image001.png@01DA75EA.66D58FC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ecf9374-0d71-4a51-a9c5-198dd68970ed" xsi:nil="true"/>
    <lcf76f155ced4ddcb4097134ff3c332f xmlns="68f04dcd-1aad-4718-b4ef-cb5a94bb72b3">
      <Terms xmlns="http://schemas.microsoft.com/office/infopath/2007/PartnerControls"/>
    </lcf76f155ced4ddcb4097134ff3c332f>
    <_dlc_DocId xmlns="9ecf9374-0d71-4a51-a9c5-198dd68970ed">ZTN2ZK5Q2N6R-32785368-364006</_dlc_DocId>
    <_dlc_DocIdUrl xmlns="9ecf9374-0d71-4a51-a9c5-198dd68970ed">
      <Url>https://csucloudservices.sharepoint.com/teams/quality/medicine/_layouts/15/DocIdRedir.aspx?ID=ZTN2ZK5Q2N6R-32785368-364006</Url>
      <Description>ZTN2ZK5Q2N6R-32785368-364006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3DE6D00F20D946965D1CA7B34A90B7" ma:contentTypeVersion="607" ma:contentTypeDescription="Create a new document." ma:contentTypeScope="" ma:versionID="943d45c21eca57f6a03f8b41f16151d7">
  <xsd:schema xmlns:xsd="http://www.w3.org/2001/XMLSchema" xmlns:xs="http://www.w3.org/2001/XMLSchema" xmlns:p="http://schemas.microsoft.com/office/2006/metadata/properties" xmlns:ns2="9ecf9374-0d71-4a51-a9c5-198dd68970ed" xmlns:ns3="68f04dcd-1aad-4718-b4ef-cb5a94bb72b3" targetNamespace="http://schemas.microsoft.com/office/2006/metadata/properties" ma:root="true" ma:fieldsID="aecd4213beaa9431b20d16e4ee8eb5bf" ns2:_="" ns3:_="">
    <xsd:import namespace="9ecf9374-0d71-4a51-a9c5-198dd68970ed"/>
    <xsd:import namespace="68f04dcd-1aad-4718-b4ef-cb5a94bb72b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f9374-0d71-4a51-a9c5-198dd68970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483cc76-f4f0-4c37-93af-129e78472dae}" ma:internalName="TaxCatchAll" ma:showField="CatchAllData" ma:web="9ecf9374-0d71-4a51-a9c5-198dd68970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f04dcd-1aad-4718-b4ef-cb5a94bb72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e3038f7-01d3-45c6-9ff3-08a5a011bc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CD8419-B9D0-4428-AFE7-A493662ED5E6}">
  <ds:schemaRefs>
    <ds:schemaRef ds:uri="http://schemas.openxmlformats.org/package/2006/metadata/core-properties"/>
    <ds:schemaRef ds:uri="http://schemas.microsoft.com/office/2006/documentManagement/types"/>
    <ds:schemaRef ds:uri="http://www.w3.org/XML/1998/namespace"/>
    <ds:schemaRef ds:uri="http://purl.org/dc/dcmitype/"/>
    <ds:schemaRef ds:uri="http://purl.org/dc/elements/1.1/"/>
    <ds:schemaRef ds:uri="http://purl.org/dc/terms/"/>
    <ds:schemaRef ds:uri="http://schemas.microsoft.com/office/2006/metadata/properties"/>
    <ds:schemaRef ds:uri="68f04dcd-1aad-4718-b4ef-cb5a94bb72b3"/>
    <ds:schemaRef ds:uri="http://schemas.microsoft.com/office/infopath/2007/PartnerControls"/>
    <ds:schemaRef ds:uri="9ecf9374-0d71-4a51-a9c5-198dd68970ed"/>
  </ds:schemaRefs>
</ds:datastoreItem>
</file>

<file path=customXml/itemProps2.xml><?xml version="1.0" encoding="utf-8"?>
<ds:datastoreItem xmlns:ds="http://schemas.openxmlformats.org/officeDocument/2006/customXml" ds:itemID="{31A18AEC-CD98-40E8-AAD4-9A917E05C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f9374-0d71-4a51-a9c5-198dd68970ed"/>
    <ds:schemaRef ds:uri="68f04dcd-1aad-4718-b4ef-cb5a94bb7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92DD09-E387-4699-A4DB-45D114921722}">
  <ds:schemaRefs>
    <ds:schemaRef ds:uri="http://schemas.microsoft.com/sharepoint/events"/>
  </ds:schemaRefs>
</ds:datastoreItem>
</file>

<file path=customXml/itemProps4.xml><?xml version="1.0" encoding="utf-8"?>
<ds:datastoreItem xmlns:ds="http://schemas.openxmlformats.org/officeDocument/2006/customXml" ds:itemID="{C7F5F6EF-9385-487A-9842-2080283040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474</Words>
  <Characters>2707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McFall (MLCSU)</dc:creator>
  <cp:keywords/>
  <dc:description/>
  <cp:lastModifiedBy>Philip Haydock (ML)</cp:lastModifiedBy>
  <cp:revision>2</cp:revision>
  <dcterms:created xsi:type="dcterms:W3CDTF">2024-08-01T17:37:00Z</dcterms:created>
  <dcterms:modified xsi:type="dcterms:W3CDTF">2024-08-01T17:37:00Z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0x010100623DE6D00F20D946965D1CA7B34A90B7</vt:lpwstr>
  </property>
  <property fmtid="{D5CDD505-2E9C-101B-9397-08002B2CF9AE}" pid="3" name="_dlc_DocIdItemGuid">
    <vt:lpwstr>2fb171bc-81d1-419e-9487-142ac2545902</vt:lpwstr>
  </property>
  <property fmtid="{D5CDD505-2E9C-101B-9397-08002B2CF9AE}" pid="4" name="MediaServiceImageTags">
    <vt:lpwstr/>
  </property>
</Properties>
</file>